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Банк контента RC Drive</w:t>
      </w:r>
    </w:p>
    <w:p>
      <w:pPr>
        <w:spacing w:after="400"/>
      </w:pPr>
      <w:r>
        <w:rPr>
          <w:rFonts w:ascii="Fira Sans" w:hAnsi="Fira Sans"/>
          <w:color w:val="526477"/>
          <w:sz w:val="30"/>
        </w:rPr>
        <w:t>Готовые материалы для восьминедельного запуска в Беларуси</w:t>
      </w:r>
    </w:p>
    <w:p>
      <w:pPr>
        <w:spacing w:after="440"/>
      </w:pPr>
      <w:r>
        <w:rPr>
          <w:rFonts w:ascii="Fira Sans" w:hAnsi="Fira Sans"/>
          <w:color w:val="1478F2"/>
          <w:sz w:val="18"/>
        </w:rPr>
        <w:t>Маркетинг и продажи  ·  Версия 2  ·  16 публикаций</w:t>
      </w:r>
    </w:p>
    <w:p>
      <w:r>
        <w:t>Контент ведет клиента по одной логике: масштаб возможной потери, механизм анализа, доказательства интерфейсом, методика аудита и переход к проверке совместимости. Каждый текст можно использовать как основу публикации, письма или блока на сайте.</w:t>
      </w:r>
    </w:p>
    <w:p>
      <w:pPr>
        <w:pStyle w:val="Heading1"/>
        <w:keepNext/>
      </w:pPr>
      <w:r>
        <w:t>Правила использования</w:t>
      </w:r>
    </w:p>
    <w:p>
      <w:pPr>
        <w:pStyle w:val="ListBullet"/>
        <w:spacing w:after="80"/>
      </w:pPr>
      <w:r>
        <w:t>Не заменять оценку возможного эффекта обещанием гарантированной экономии.</w:t>
      </w:r>
    </w:p>
    <w:p>
      <w:pPr>
        <w:pStyle w:val="ListBullet"/>
        <w:spacing w:after="80"/>
      </w:pPr>
      <w:r>
        <w:t>В публикациях с интерфейсом использовать только обезличенные скриншоты.</w:t>
      </w:r>
    </w:p>
    <w:p>
      <w:pPr>
        <w:pStyle w:val="ListBullet"/>
        <w:spacing w:after="80"/>
      </w:pPr>
      <w:r>
        <w:t>Указывать, что совместимость и качество CAN-данных проверяются до старта.</w:t>
      </w:r>
    </w:p>
    <w:p>
      <w:pPr>
        <w:pStyle w:val="ListBullet"/>
        <w:spacing w:after="80"/>
      </w:pPr>
      <w:r>
        <w:t>Сгенерированную иллюстрацию автопарка использовать как образ, не как фотографию клиента.</w:t>
      </w:r>
    </w:p>
    <w:p>
      <w:pPr>
        <w:pStyle w:val="ListBullet"/>
        <w:spacing w:after="80"/>
      </w:pPr>
      <w:r>
        <w:t>Основной призыв: получить аудит скрытого перерасхода или проверить совместимость данных.</w:t>
      </w:r>
    </w:p>
    <w:p>
      <w:pPr>
        <w:pStyle w:val="Heading2"/>
        <w:keepNext/>
      </w:pPr>
      <w:r>
        <w:t>01  Экономика 0,5 литра</w:t>
      </w:r>
    </w:p>
    <w:p>
      <w:r>
        <w:rPr>
          <w:b/>
          <w:color w:val="1478F2"/>
        </w:rPr>
        <w:t>Неделя 1  ·  LinkedIn и сайт</w:t>
      </w:r>
    </w:p>
    <w:p>
      <w:r>
        <w:t>Каждые 0,5 л на 100 км быстро превращаются в тысячи литров. Для 100 автомобилей с пробегом 10 000 км в месяц это 5 000 л. RC.Drive помогает проверить, есть ли такой резерв в вашем парке и за счет каких режимов он возникает. Рассчитайте свой сценарий и начните с проверки данных.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02  Данные уже есть</w:t>
      </w:r>
    </w:p>
    <w:p>
      <w:r>
        <w:rPr>
          <w:b/>
          <w:color w:val="1478F2"/>
        </w:rPr>
        <w:t>Неделя 1  ·  Email действующим клиентам</w:t>
      </w:r>
    </w:p>
    <w:p>
      <w:r>
        <w:t>Ваш парк уже передает скорость, обороты, расход, нагрузку и другие CAN-параметры. Следующий шаг — превратить этот поток в список конкретных действий. Мы проверим совместимость и покажем, какие данные можно использовать для аудита RC.Drive.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03  Шесть факторов расхода</w:t>
      </w:r>
    </w:p>
    <w:p>
      <w:r>
        <w:rPr>
          <w:b/>
          <w:color w:val="1478F2"/>
        </w:rPr>
        <w:t>Неделя 2  ·  Сайт и LinkedIn</w:t>
      </w:r>
    </w:p>
    <w:p>
      <w:r>
        <w:t>Холостой ход, скорость, обороты, торможения, накат и круиз-контроль влияют на расход по-разному. Одна итоговая цифра скрывает причину. RC.Drive показывает вклад факторов, чтобы руководитель разбирал сначала то, что дает наибольший эффект.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04  От показателя к действию</w:t>
      </w:r>
    </w:p>
    <w:p>
      <w:r>
        <w:rPr>
          <w:b/>
          <w:color w:val="1478F2"/>
        </w:rPr>
        <w:t>Неделя 2  ·  Telegram</w:t>
      </w:r>
    </w:p>
    <w:p>
      <w:r>
        <w:t>Панель показывает отклонение. История объясняет, когда оно возникло. Рекомендация переводит наблюдение в действие. Так RC.Drive соединяет телематику и управленческий процесс.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05  Почему средняя по парку вводит в заблуждение</w:t>
      </w:r>
    </w:p>
    <w:p>
      <w:r>
        <w:rPr>
          <w:b/>
          <w:color w:val="1478F2"/>
        </w:rPr>
        <w:t>Неделя 3  ·  Email новым клиентам</w:t>
      </w:r>
    </w:p>
    <w:p>
      <w:r>
        <w:t>Среднее значение смешивает разные маршруты, модели и задачи. Для корректного вывода водителей и автомобили нужно сравнивать внутри сопоставимых групп. Это один из первых шагов аудита RC.Drive.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06  С кого начать разбор</w:t>
      </w:r>
    </w:p>
    <w:p>
      <w:r>
        <w:rPr>
          <w:b/>
          <w:color w:val="1478F2"/>
        </w:rPr>
        <w:t>Неделя 3  ·  LinkedIn</w:t>
      </w:r>
    </w:p>
    <w:p>
      <w:r>
        <w:t>В большом парке невозможно одинаково подробно разбирать каждого водителя. RC.Drive ранжирует отклонения и помогает выбрать тех, у кого потенциальный эффект выше. Руководитель получает очередь действий вместо общего отчета.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07  Как проходит аудит</w:t>
      </w:r>
    </w:p>
    <w:p>
      <w:r>
        <w:rPr>
          <w:b/>
          <w:color w:val="1478F2"/>
        </w:rPr>
        <w:t>Неделя 4  ·  Сайт</w:t>
      </w:r>
    </w:p>
    <w:p>
      <w:r>
        <w:t>Сначала проверяем совместимость и данные. Затем строим базовую линию на 8–12 неделях, находим причины, согласуем действия и проверяем динамику. Масштабирование начинается после того, как результат подтвержден на данных клиента.</w:t>
      </w:r>
    </w:p>
    <w:p>
      <w:r>
        <w:rPr>
          <w:b/>
        </w:rPr>
        <w:t xml:space="preserve">CTA  </w:t>
      </w:r>
      <w:r>
        <w:t>Получить аудит скрытого перерасхода топлива.</w:t>
      </w:r>
    </w:p>
    <w:p>
      <w:pPr>
        <w:pStyle w:val="Heading2"/>
        <w:keepNext/>
      </w:pPr>
      <w:r>
        <w:t>08  Три зоны потерь</w:t>
      </w:r>
    </w:p>
    <w:p>
      <w:r>
        <w:rPr>
          <w:b/>
          <w:color w:val="1478F2"/>
        </w:rPr>
        <w:t>Неделя 4  ·  Telegram</w:t>
      </w:r>
    </w:p>
    <w:p>
      <w:r>
        <w:t>Результат аудита для большого парка — три крупнейшие зоны потерь, приоритет действий и критерии проверки. Такой формат помогает перейти к управлению без перегрузки отчетами.</w:t>
      </w:r>
    </w:p>
    <w:p>
      <w:r>
        <w:rPr>
          <w:b/>
        </w:rPr>
        <w:t xml:space="preserve">CTA  </w:t>
      </w:r>
      <w:r>
        <w:t>Получить аудит скрытого перерасхода топлива.</w:t>
      </w:r>
    </w:p>
    <w:p>
      <w:pPr>
        <w:pStyle w:val="Heading2"/>
        <w:keepNext/>
      </w:pPr>
      <w:r>
        <w:t>09  Совместимость существующей телематики</w:t>
      </w:r>
    </w:p>
    <w:p>
      <w:r>
        <w:rPr>
          <w:b/>
          <w:color w:val="1478F2"/>
        </w:rPr>
        <w:t>Неделя 5  ·  Email действующим клиентам</w:t>
      </w:r>
    </w:p>
    <w:p>
      <w:r>
        <w:t>Для RC.Drive не всегда требуется менять оборудование. Сначала мы проверяем, какие CAN-параметры уже доступны и достаточно ли их качества. Если данные подходят, аудит строится на текущем потоке.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10  Почему экономию нельзя обещать заранее</w:t>
      </w:r>
    </w:p>
    <w:p>
      <w:r>
        <w:rPr>
          <w:b/>
          <w:color w:val="1478F2"/>
        </w:rPr>
        <w:t>Неделя 5  ·  LinkedIn</w:t>
      </w:r>
    </w:p>
    <w:p>
      <w:r>
        <w:t>Процент без данных клиента выглядит убедительно, но не помогает принять решение. Корректный подход — зафиксировать базовую линию, действие и критерий проверки. RC.Drive оценивает возможный эффект, а подтверждение происходит после внедрения.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11  Эксплуатационный расход и сливы</w:t>
      </w:r>
    </w:p>
    <w:p>
      <w:r>
        <w:rPr>
          <w:b/>
          <w:color w:val="1478F2"/>
        </w:rPr>
        <w:t>Неделя 6  ·  Сайт</w:t>
      </w:r>
    </w:p>
    <w:p>
      <w:r>
        <w:t>RC.Drive анализирует расход, связанный с режимами эксплуатации и поведением водителя. Контроль заправок и сливов решает другую задачу. Разделение этих задач помогает правильно выбрать инструмент и ожидания.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12  Почему нужен ответственный</w:t>
      </w:r>
    </w:p>
    <w:p>
      <w:r>
        <w:rPr>
          <w:b/>
          <w:color w:val="1478F2"/>
        </w:rPr>
        <w:t>Неделя 6  ·  Telegram</w:t>
      </w:r>
    </w:p>
    <w:p>
      <w:r>
        <w:t>Рекомендация сама по себе не меняет расход. Нужен руководитель, который назначит действие, разберет его с водителем и проверит динамику. Поэтому ответственный определяется до старта аудита.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13  Куда направлять пробег</w:t>
      </w:r>
    </w:p>
    <w:p>
      <w:r>
        <w:rPr>
          <w:b/>
          <w:color w:val="1478F2"/>
        </w:rPr>
        <w:t>Неделя 7  ·  LinkedIn</w:t>
      </w:r>
    </w:p>
    <w:p>
      <w:r>
        <w:t>Если автомобили сопоставимы, пробег можно отдавать тем связкам водитель и техника, которые показывают более эффективную эксплуатацию. RC.Drive дает данные для такого решения и показывает возможную разницу в литрах.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14  Что вы получите на выходе</w:t>
      </w:r>
    </w:p>
    <w:p>
      <w:r>
        <w:rPr>
          <w:b/>
          <w:color w:val="1478F2"/>
        </w:rPr>
        <w:t>Неделя 7  ·  Email новым клиентам</w:t>
      </w:r>
    </w:p>
    <w:p>
      <w:r>
        <w:t>Приоритет действий, сравнение водителей и автомобилей, критерии контроля, оценка сокращения в литрах и эффект в BYN. Для парка от 50 ТС начинаем с репрезентативной группы и данных за 8–12 недель.</w:t>
      </w:r>
    </w:p>
    <w:p>
      <w:r>
        <w:rPr>
          <w:b/>
        </w:rPr>
        <w:t xml:space="preserve">CTA  </w:t>
      </w:r>
      <w:r>
        <w:t>Получить аудит скрытого перерасхода топлива.</w:t>
      </w:r>
    </w:p>
    <w:p>
      <w:pPr>
        <w:pStyle w:val="Heading2"/>
        <w:keepNext/>
      </w:pPr>
      <w:r>
        <w:t>15  Порог окупаемости</w:t>
      </w:r>
    </w:p>
    <w:p>
      <w:r>
        <w:rPr>
          <w:b/>
          <w:color w:val="1478F2"/>
        </w:rPr>
        <w:t>Неделя 8  ·  Telegram</w:t>
      </w:r>
    </w:p>
    <w:p>
      <w:r>
        <w:t>В калькуляторе RC.Drive можно увидеть, при каком снижении расхода стоимость сервиса окупается. Вводные остаются прозрачными: число ТС, пробег, цена топлива, базовый расход и ожидаемое изменение.</w:t>
      </w:r>
    </w:p>
    <w:p>
      <w:r>
        <w:rPr>
          <w:b/>
        </w:rPr>
        <w:t xml:space="preserve">CTA  </w:t>
      </w:r>
      <w:r>
        <w:t>Проверить совместимость данных RC.Drive.</w:t>
      </w:r>
    </w:p>
    <w:p>
      <w:pPr>
        <w:pStyle w:val="Heading2"/>
        <w:keepNext/>
      </w:pPr>
      <w:r>
        <w:t>16  Приглашение на аудит</w:t>
      </w:r>
    </w:p>
    <w:p>
      <w:r>
        <w:rPr>
          <w:b/>
          <w:color w:val="1478F2"/>
        </w:rPr>
        <w:t>Неделя 8  ·  Сайт и email</w:t>
      </w:r>
    </w:p>
    <w:p>
      <w:r>
        <w:t>Если в парке 50 и более транспортных средств, начните с проверки совместимости. Подготовьте состав техники, типы трекеров, доступные CAN-параметры, пробег и расход. Мы предложим группу для аудита и критерии результата.</w:t>
      </w:r>
    </w:p>
    <w:p>
      <w:r>
        <w:rPr>
          <w:b/>
        </w:rPr>
        <w:t xml:space="preserve">CTA  </w:t>
      </w:r>
      <w:r>
        <w:t>Получить аудит скрытого перерасхода топлива.</w:t>
      </w:r>
    </w:p>
    <w:p>
      <w:pPr>
        <w:pStyle w:val="Heading1"/>
        <w:keepNext/>
      </w:pPr>
      <w:r>
        <w:t>Короткие подписи для визуалов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</w:trPr>
        <w:tc>
          <w:tcPr>
            <w:tcW w:type="dxa" w:w="30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21"/>
              </w:rPr>
              <w:t>Сюжет</w:t>
            </w:r>
          </w:p>
        </w:tc>
        <w:tc>
          <w:tcPr>
            <w:tcW w:type="dxa" w:w="633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21"/>
              </w:rPr>
              <w:t>Подпись</w:t>
            </w:r>
          </w:p>
        </w:tc>
      </w:tr>
      <w:tr>
        <w:tc>
          <w:tcPr>
            <w:tcW w:type="dxa" w:w="30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Панель факторов</w:t>
            </w:r>
          </w:p>
        </w:tc>
        <w:tc>
          <w:tcPr>
            <w:tcW w:type="dxa" w:w="633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Сначала видно, куда смотреть.</w:t>
            </w:r>
          </w:p>
        </w:tc>
      </w:tr>
      <w:tr>
        <w:tc>
          <w:tcPr>
            <w:tcW w:type="dxa" w:w="30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История показателя</w:t>
            </w:r>
          </w:p>
        </w:tc>
        <w:tc>
          <w:tcPr>
            <w:tcW w:type="dxa" w:w="633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Причина проявляется во времени.</w:t>
            </w:r>
          </w:p>
        </w:tc>
      </w:tr>
      <w:tr>
        <w:tc>
          <w:tcPr>
            <w:tcW w:type="dxa" w:w="30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Рекомендация</w:t>
            </w:r>
          </w:p>
        </w:tc>
        <w:tc>
          <w:tcPr>
            <w:tcW w:type="dxa" w:w="633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Из данных — в конкретное действие.</w:t>
            </w:r>
          </w:p>
        </w:tc>
      </w:tr>
      <w:tr>
        <w:tc>
          <w:tcPr>
            <w:tcW w:type="dxa" w:w="30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Сравнение</w:t>
            </w:r>
          </w:p>
        </w:tc>
        <w:tc>
          <w:tcPr>
            <w:tcW w:type="dxa" w:w="633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Сравнивать нужно сопоставимое.</w:t>
            </w:r>
          </w:p>
        </w:tc>
      </w:tr>
      <w:tr>
        <w:tc>
          <w:tcPr>
            <w:tcW w:type="dxa" w:w="30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ROI</w:t>
            </w:r>
          </w:p>
        </w:tc>
        <w:tc>
          <w:tcPr>
            <w:tcW w:type="dxa" w:w="633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Каждые 0,5 л имеют масштаб.</w:t>
            </w:r>
          </w:p>
        </w:tc>
      </w:tr>
      <w:tr>
        <w:tc>
          <w:tcPr>
            <w:tcW w:type="dxa" w:w="309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Аудит</w:t>
            </w:r>
          </w:p>
        </w:tc>
        <w:tc>
          <w:tcPr>
            <w:tcW w:type="dxa" w:w="633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8–12 недель данных. Три зоны потерь. План действий.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152" w:bottom="979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Russo One" w:hAnsi="Russo One"/>
        <w:color w:val="1478F2"/>
        <w:sz w:val="16"/>
      </w:rPr>
      <w:t>RESURSCONTROL  ·  RC.DRIVE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Fira Sans" w:hAnsi="Fira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Fira Sans" w:hAnsi="Fira Sans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Fira Sans" w:hAnsi="Fira Sans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Fira Sans" w:hAnsi="Fira Sans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Fira Sans" w:hAnsi="Fira Sans"/>
      <w:b/>
      <w:color w:val="000000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