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Материалы отдела продаж RC Drive</w:t>
      </w:r>
    </w:p>
    <w:p>
      <w:pPr>
        <w:spacing w:after="400"/>
      </w:pPr>
      <w:r>
        <w:rPr>
          <w:rFonts w:ascii="Fira Sans" w:hAnsi="Fira Sans"/>
          <w:color w:val="526477"/>
          <w:sz w:val="30"/>
        </w:rPr>
        <w:t>Квалификация, демонстрация, возражения и переход к аудиту</w:t>
      </w:r>
    </w:p>
    <w:p>
      <w:pPr>
        <w:spacing w:after="440"/>
      </w:pPr>
      <w:r>
        <w:rPr>
          <w:rFonts w:ascii="Fira Sans" w:hAnsi="Fira Sans"/>
          <w:color w:val="1478F2"/>
          <w:sz w:val="18"/>
        </w:rPr>
        <w:t>Внутренний документ  ·  Рынок Республики Беларусь  ·  Версия 2</w:t>
      </w:r>
    </w:p>
    <w:p>
      <w:r>
        <w:t>Задача первого контакта — подтвердить, что у клиента достаточно данных и управленческой готовности для аудита. Продавец не обещает процент экономии. Он переводит разговор от общего интереса к проверяемой гипотезе на данных конкретного парка.</w:t>
      </w:r>
    </w:p>
    <w:p>
      <w:pPr>
        <w:pStyle w:val="Heading1"/>
        <w:keepNext/>
      </w:pPr>
      <w:r>
        <w:t>Основная формулировка</w:t>
      </w:r>
    </w:p>
    <w:p>
      <w:r>
        <w:t>RC.Drive находит скрытый перерасход топлива в уже собранных данных телематики. Руководитель видит приоритет действий, сравнение сопоставимых водителей и автомобилей, критерии проверки и возможный эффект в литрах и BYN.</w:t>
      </w:r>
    </w:p>
    <w:p>
      <w:pPr>
        <w:pStyle w:val="Heading1"/>
        <w:keepNext/>
      </w:pPr>
      <w:r>
        <w:t>Кому предлагать в первую очередь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</w:trPr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Роль</w:t>
            </w:r>
          </w:p>
        </w:tc>
        <w:tc>
          <w:tcPr>
            <w:tcW w:type="dxa" w:w="37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Рабочий интерес</w:t>
            </w:r>
          </w:p>
        </w:tc>
        <w:tc>
          <w:tcPr>
            <w:tcW w:type="dxa" w:w="324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Что показать</w:t>
            </w:r>
          </w:p>
        </w:tc>
      </w:tr>
      <w:tr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Собственник или генеральный директор</w:t>
            </w:r>
          </w:p>
        </w:tc>
        <w:tc>
          <w:tcPr>
            <w:tcW w:type="dxa" w:w="37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Масштаб потерь и окупаемость управленческого решения.</w:t>
            </w:r>
          </w:p>
        </w:tc>
        <w:tc>
          <w:tcPr>
            <w:tcW w:type="dxa" w:w="324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Расчет 0,5 л на 100 км, итог в литрах и BYN.</w:t>
            </w:r>
          </w:p>
        </w:tc>
      </w:tr>
      <w:tr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Директор автопарка</w:t>
            </w:r>
          </w:p>
        </w:tc>
        <w:tc>
          <w:tcPr>
            <w:tcW w:type="dxa" w:w="37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Кого и что разбирать первым.</w:t>
            </w:r>
          </w:p>
        </w:tc>
        <w:tc>
          <w:tcPr>
            <w:tcW w:type="dxa" w:w="324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Сравнение сопоставимых групп и приоритет рекомендаций.</w:t>
            </w:r>
          </w:p>
        </w:tc>
      </w:tr>
      <w:tr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Главный механик</w:t>
            </w:r>
          </w:p>
        </w:tc>
        <w:tc>
          <w:tcPr>
            <w:tcW w:type="dxa" w:w="37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Режимы эксплуатации и конкретные отклонения.</w:t>
            </w:r>
          </w:p>
        </w:tc>
        <w:tc>
          <w:tcPr>
            <w:tcW w:type="dxa" w:w="324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История факторов, скорость, обороты, холостой ход.</w:t>
            </w:r>
          </w:p>
        </w:tc>
      </w:tr>
      <w:tr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Финансовый директор</w:t>
            </w:r>
          </w:p>
        </w:tc>
        <w:tc>
          <w:tcPr>
            <w:tcW w:type="dxa" w:w="37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Методика расчета и риск необоснованного обещания.</w:t>
            </w:r>
          </w:p>
        </w:tc>
        <w:tc>
          <w:tcPr>
            <w:tcW w:type="dxa" w:w="324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Допущения ROI, стоимость сервиса, порог безубыточности.</w:t>
            </w:r>
          </w:p>
        </w:tc>
      </w:tr>
      <w:tr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Специалист по телематике</w:t>
            </w:r>
          </w:p>
        </w:tc>
        <w:tc>
          <w:tcPr>
            <w:tcW w:type="dxa" w:w="37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Совместимость и качество данных.</w:t>
            </w:r>
          </w:p>
        </w:tc>
        <w:tc>
          <w:tcPr>
            <w:tcW w:type="dxa" w:w="324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Перечень требуемых CAN-параметров и диагностика качества.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Вопросы квалификации</w:t>
      </w:r>
    </w:p>
    <w:p>
      <w:pPr>
        <w:pStyle w:val="ListNumber"/>
        <w:spacing w:after="80"/>
      </w:pPr>
      <w:r>
        <w:t>Сколько транспортных средств в парке и какие типы техники преобладают?</w:t>
      </w:r>
    </w:p>
    <w:p>
      <w:pPr>
        <w:pStyle w:val="ListNumber"/>
        <w:spacing w:after="80"/>
      </w:pPr>
      <w:r>
        <w:t>Какая часть парка работает на сопоставимых маршрутах или задачах?</w:t>
      </w:r>
    </w:p>
    <w:p>
      <w:pPr>
        <w:pStyle w:val="ListNumber"/>
        <w:spacing w:after="80"/>
      </w:pPr>
      <w:r>
        <w:t>Какие терминалы и датчики установлены сейчас?</w:t>
      </w:r>
    </w:p>
    <w:p>
      <w:pPr>
        <w:pStyle w:val="ListNumber"/>
        <w:spacing w:after="80"/>
      </w:pPr>
      <w:r>
        <w:t>Какие CAN-параметры доступны по большинству транспортных средств?</w:t>
      </w:r>
    </w:p>
    <w:p>
      <w:pPr>
        <w:pStyle w:val="ListNumber"/>
        <w:spacing w:after="80"/>
      </w:pPr>
      <w:r>
        <w:t>Есть ли история данных за 8–12 недель?</w:t>
      </w:r>
    </w:p>
    <w:p>
      <w:pPr>
        <w:pStyle w:val="ListNumber"/>
        <w:spacing w:after="80"/>
      </w:pPr>
      <w:r>
        <w:t>Какой средний месячный пробег и расход топлива?</w:t>
      </w:r>
    </w:p>
    <w:p>
      <w:pPr>
        <w:pStyle w:val="ListNumber"/>
        <w:spacing w:after="80"/>
      </w:pPr>
      <w:r>
        <w:t>Как сейчас выявляют и разбирают перерасход?</w:t>
      </w:r>
    </w:p>
    <w:p>
      <w:pPr>
        <w:pStyle w:val="ListNumber"/>
        <w:spacing w:after="80"/>
      </w:pPr>
      <w:r>
        <w:t>Сравнивают ли водителей внутри сопоставимых условий?</w:t>
      </w:r>
    </w:p>
    <w:p>
      <w:pPr>
        <w:pStyle w:val="ListNumber"/>
        <w:spacing w:after="80"/>
      </w:pPr>
      <w:r>
        <w:t>Кто отвечает за изменение поведения водителей и контроль результата?</w:t>
      </w:r>
    </w:p>
    <w:p>
      <w:pPr>
        <w:pStyle w:val="ListNumber"/>
        <w:spacing w:after="80"/>
      </w:pPr>
      <w:r>
        <w:t>Какие действия уже пробовали и как измеряли эффект?</w:t>
      </w:r>
    </w:p>
    <w:p>
      <w:pPr>
        <w:pStyle w:val="ListNumber"/>
        <w:spacing w:after="80"/>
      </w:pPr>
      <w:r>
        <w:t>Какая величина отклонения в л на 100 км считается значимой?</w:t>
      </w:r>
    </w:p>
    <w:p>
      <w:pPr>
        <w:pStyle w:val="ListNumber"/>
        <w:spacing w:after="80"/>
      </w:pPr>
      <w:r>
        <w:t>Кто принимает решение о масштабировании после аудита?</w:t>
      </w:r>
    </w:p>
    <w:p>
      <w:pPr>
        <w:pStyle w:val="Heading1"/>
        <w:keepNext/>
      </w:pPr>
      <w:r>
        <w:t>Сигналы готовности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</w:trPr>
        <w:tc>
          <w:tcPr>
            <w:tcW w:type="dxa" w:w="61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Сигнал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Оценка</w:t>
            </w:r>
          </w:p>
        </w:tc>
      </w:tr>
      <w:tr>
        <w:tc>
          <w:tcPr>
            <w:tcW w:type="dxa" w:w="61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Парк 50 и более ТС, есть сопоставимая группа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Высокий приоритет</w:t>
            </w:r>
          </w:p>
        </w:tc>
      </w:tr>
      <w:tr>
        <w:tc>
          <w:tcPr>
            <w:tcW w:type="dxa" w:w="61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Есть CAN и история 8–12 недель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Можно переходить к проверке данных</w:t>
            </w:r>
          </w:p>
        </w:tc>
      </w:tr>
      <w:tr>
        <w:tc>
          <w:tcPr>
            <w:tcW w:type="dxa" w:w="61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Назначен ответственный за действия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Есть условия для подтверждения эффекта</w:t>
            </w:r>
          </w:p>
        </w:tc>
      </w:tr>
      <w:tr>
        <w:tc>
          <w:tcPr>
            <w:tcW w:type="dxa" w:w="61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Нет CAN или данные неполные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Сначала техническое обследование</w:t>
            </w:r>
          </w:p>
        </w:tc>
      </w:tr>
      <w:tr>
        <w:tc>
          <w:tcPr>
            <w:tcW w:type="dxa" w:w="61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Ожидают гарантированную экономию без действий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Вернуть разговор к методике аудита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Структура первой встречи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</w:trPr>
        <w:tc>
          <w:tcPr>
            <w:tcW w:type="dxa" w:w="10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Минуты</w:t>
            </w:r>
          </w:p>
        </w:tc>
        <w:tc>
          <w:tcPr>
            <w:tcW w:type="dxa" w:w="55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Действие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Цель</w:t>
            </w:r>
          </w:p>
        </w:tc>
      </w:tr>
      <w:tr>
        <w:tc>
          <w:tcPr>
            <w:tcW w:type="dxa" w:w="10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0–5</w:t>
            </w:r>
          </w:p>
        </w:tc>
        <w:tc>
          <w:tcPr>
            <w:tcW w:type="dxa" w:w="55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Уточнить парк, расход, телематику и текущий процесс контроля.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Понять масштаб и зрелость.</w:t>
            </w:r>
          </w:p>
        </w:tc>
      </w:tr>
      <w:tr>
        <w:tc>
          <w:tcPr>
            <w:tcW w:type="dxa" w:w="10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5–10</w:t>
            </w:r>
          </w:p>
        </w:tc>
        <w:tc>
          <w:tcPr>
            <w:tcW w:type="dxa" w:w="55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Показать, как каждые 0,5 л на 100 км превращаются в литры.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Создать экономический контекст.</w:t>
            </w:r>
          </w:p>
        </w:tc>
      </w:tr>
      <w:tr>
        <w:tc>
          <w:tcPr>
            <w:tcW w:type="dxa" w:w="10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10–20</w:t>
            </w:r>
          </w:p>
        </w:tc>
        <w:tc>
          <w:tcPr>
            <w:tcW w:type="dxa" w:w="55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Показать панель, историю факторов, сравнение и рекомендацию.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Связать данные с действием.</w:t>
            </w:r>
          </w:p>
        </w:tc>
      </w:tr>
      <w:tr>
        <w:tc>
          <w:tcPr>
            <w:tcW w:type="dxa" w:w="10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20–25</w:t>
            </w:r>
          </w:p>
        </w:tc>
        <w:tc>
          <w:tcPr>
            <w:tcW w:type="dxa" w:w="55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Обсудить качество данных и сопоставимые группы.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Снять технические риски.</w:t>
            </w:r>
          </w:p>
        </w:tc>
      </w:tr>
      <w:tr>
        <w:tc>
          <w:tcPr>
            <w:tcW w:type="dxa" w:w="10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25–30</w:t>
            </w:r>
          </w:p>
        </w:tc>
        <w:tc>
          <w:tcPr>
            <w:tcW w:type="dxa" w:w="554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Согласовать аудит, данные, ответственных и критерии успеха.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Зафиксировать следующий шаг.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Демонстрационный маршрут</w:t>
      </w:r>
    </w:p>
    <w:p>
      <w:pPr>
        <w:pStyle w:val="ListBullet"/>
        <w:spacing w:after="80"/>
      </w:pPr>
      <w:r>
        <w:t>Панель факторов: показать, где виден приоритет внимания.</w:t>
      </w:r>
    </w:p>
    <w:p>
      <w:pPr>
        <w:pStyle w:val="ListBullet"/>
        <w:spacing w:after="80"/>
      </w:pPr>
      <w:r>
        <w:t>История: показать связь расхода и поведения на временном отрезке.</w:t>
      </w:r>
    </w:p>
    <w:p>
      <w:pPr>
        <w:pStyle w:val="ListBullet"/>
        <w:spacing w:after="80"/>
      </w:pPr>
      <w:r>
        <w:t>Сравнение: объяснить, почему сравнивать нужно внутри сопоставимых групп.</w:t>
      </w:r>
    </w:p>
    <w:p>
      <w:pPr>
        <w:pStyle w:val="ListBullet"/>
        <w:spacing w:after="80"/>
      </w:pPr>
      <w:r>
        <w:t>Рекомендация: перейти от показателя к конкретному действию.</w:t>
      </w:r>
    </w:p>
    <w:p>
      <w:pPr>
        <w:pStyle w:val="ListBullet"/>
        <w:spacing w:after="80"/>
      </w:pPr>
      <w:r>
        <w:t>Перераспределение пробега: показать управленческий сценарий для большого парка.</w:t>
      </w:r>
    </w:p>
    <w:p>
      <w:pPr>
        <w:pStyle w:val="ListBullet"/>
        <w:spacing w:after="80"/>
      </w:pPr>
      <w:r>
        <w:t>ROI-калькулятор: изменить только подтвержденные клиентом вводные.</w:t>
      </w:r>
    </w:p>
    <w:p>
      <w:pPr>
        <w:pStyle w:val="Heading1"/>
        <w:keepNext/>
      </w:pPr>
      <w:r>
        <w:t>Ответы на типовые возражения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</w:trPr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Возражение</w:t>
            </w:r>
          </w:p>
        </w:tc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Ответ</w:t>
            </w:r>
          </w:p>
        </w:tc>
      </w:tr>
      <w:tr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У нас уже есть мониторинг транспорта</w:t>
            </w:r>
          </w:p>
        </w:tc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RC.Drive использует поток телематики как основу и добавляет анализ факторов расхода, сравнение и рекомендации. Сначала проверим, хватает ли текущих данных.</w:t>
            </w:r>
          </w:p>
        </w:tc>
      </w:tr>
      <w:tr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Мы уже контролируем топливо по ДУТ</w:t>
            </w:r>
          </w:p>
        </w:tc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ДУТ отвечает на другой класс вопросов. RC.Drive помогает разобрать эксплуатационный расход и режимы управления.</w:t>
            </w:r>
          </w:p>
        </w:tc>
      </w:tr>
      <w:tr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Маршруты слишком разные</w:t>
            </w:r>
          </w:p>
        </w:tc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Сравнение строится внутри сопоставимых групп. На старте вместе определим, какие ТС можно сравнивать корректно.</w:t>
            </w:r>
          </w:p>
        </w:tc>
      </w:tr>
      <w:tr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Дайте гарантированный процент экономии</w:t>
            </w:r>
          </w:p>
        </w:tc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Процент без ваших данных будет необоснованным. Аудит нужен, чтобы измерить резерв и зафиксировать критерии результата.</w:t>
            </w:r>
          </w:p>
        </w:tc>
      </w:tr>
      <w:tr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Водители не будут выполнять рекомендации</w:t>
            </w:r>
          </w:p>
        </w:tc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Поэтому до старта нужен ответственный и процесс разбора. Система показывает приоритет; эффект зависит от внедрения действий.</w:t>
            </w:r>
          </w:p>
        </w:tc>
      </w:tr>
      <w:tr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Нам нужен контроль сливов</w:t>
            </w:r>
          </w:p>
        </w:tc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RC.Drive не заменяет инструменты контроля заправок и сливов. Его задача — эксплуатационный расход и поведение.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Письмо после встречи</w:t>
      </w:r>
    </w:p>
    <w:p>
      <w:r>
        <w:t>Тема: Проверка скрытого перерасхода топлива на данных вашего парка</w:t>
      </w:r>
    </w:p>
    <w:p>
      <w:r>
        <w:t>Спасибо за разговор. Для проверки совместимости RC.Drive просим направить состав техники, типы терминалов, перечень доступных CAN-параметров, средний пробег и расход, а также доступность истории за 8–12 недель. После проверки предложим репрезентативную группу и критерии аудита. Результатом станут три приоритетные зоны потерь, план действий и расчет экономики масштабирования.</w:t>
      </w:r>
    </w:p>
    <w:p>
      <w:pPr>
        <w:pStyle w:val="Heading1"/>
        <w:keepNext/>
      </w:pPr>
      <w:r>
        <w:t>Что нельзя обещать</w:t>
      </w:r>
    </w:p>
    <w:p>
      <w:pPr>
        <w:pStyle w:val="ListBullet"/>
        <w:spacing w:after="80"/>
      </w:pPr>
      <w:r>
        <w:t>фиксированный процент или гарантированную сумму экономии до анализа;</w:t>
      </w:r>
    </w:p>
    <w:p>
      <w:pPr>
        <w:pStyle w:val="ListBullet"/>
        <w:spacing w:after="80"/>
      </w:pPr>
      <w:r>
        <w:t>работу с любой техникой без проверки совместимости;</w:t>
      </w:r>
    </w:p>
    <w:p>
      <w:pPr>
        <w:pStyle w:val="ListBullet"/>
        <w:spacing w:after="80"/>
      </w:pPr>
      <w:r>
        <w:t>выявление сливов топлива средствами RC.Drive;</w:t>
      </w:r>
    </w:p>
    <w:p>
      <w:pPr>
        <w:pStyle w:val="ListBullet"/>
        <w:spacing w:after="80"/>
      </w:pPr>
      <w:r>
        <w:t>отдельный учет рельефа и осевой нагрузки как самостоятельных факторов;</w:t>
      </w:r>
    </w:p>
    <w:p>
      <w:pPr>
        <w:pStyle w:val="ListBullet"/>
        <w:spacing w:after="80"/>
      </w:pPr>
      <w:r>
        <w:t>мобильное приложение, мессенджер-сводки или готовый конструктор мотивации.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152" w:bottom="97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Russo One" w:hAnsi="Russo One"/>
        <w:color w:val="1478F2"/>
        <w:sz w:val="16"/>
      </w:rPr>
      <w:t>RESURSCONTROL  ·  RC.DRIVE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Fira Sans" w:hAnsi="Fira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Fira Sans" w:hAnsi="Fira Sans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Fira Sans" w:hAnsi="Fira Sans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Fira Sans" w:hAnsi="Fira Sans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Fira Sans" w:hAnsi="Fira Sans"/>
      <w:b/>
      <w:color w:val="00000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