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Аудит скрытого перерасхода топлива RC Drive</w:t>
      </w:r>
    </w:p>
    <w:p>
      <w:pPr>
        <w:spacing w:after="400"/>
      </w:pPr>
      <w:r>
        <w:rPr>
          <w:rFonts w:ascii="Fira Sans" w:hAnsi="Fira Sans"/>
          <w:color w:val="526477"/>
          <w:sz w:val="30"/>
        </w:rPr>
        <w:t>Коммерческое предложение для автопарков от 50 транспортных средств</w:t>
      </w:r>
    </w:p>
    <w:p>
      <w:pPr>
        <w:spacing w:after="440"/>
      </w:pPr>
      <w:r>
        <w:rPr>
          <w:rFonts w:ascii="Fira Sans" w:hAnsi="Fira Sans"/>
          <w:color w:val="1478F2"/>
          <w:sz w:val="18"/>
        </w:rPr>
        <w:t>Рынок Республики Беларусь  ·  Версия 2  ·  Сентябрь 2026</w:t>
      </w:r>
    </w:p>
    <w:p>
      <w:r>
        <w:t>RC.Drive помогает найти скрытый перерасход топлива на данных, которые уже собирает автопарк. Система сопоставляет расход с режимами эксплуатации и показывает, где управленческое действие можно проверить в литрах и BYN.</w:t>
      </w:r>
    </w:p>
    <w:p>
      <w:r>
        <w:t>Предлагаемый первый шаг — аудит репрезентативной группы на данных за 8–12 недель. До старта RESURSCONTROL проверяет совместимость телематики и качество CAN-параметров. На выходе руководитель получает три крупнейшие зоны потерь, план действий и экономику масштабирования.</w:t>
      </w:r>
    </w:p>
    <w:p>
      <w:pPr>
        <w:pStyle w:val="Heading1"/>
        <w:keepNext/>
      </w:pPr>
      <w:r>
        <w:t>Что получает клиент</w:t>
      </w:r>
    </w:p>
    <w:p>
      <w:pPr>
        <w:pStyle w:val="ListBullet"/>
        <w:spacing w:after="80"/>
      </w:pPr>
      <w:r>
        <w:t>приоритетный список действий по зонам наибольшего перерасхода;</w:t>
      </w:r>
    </w:p>
    <w:p>
      <w:pPr>
        <w:pStyle w:val="ListBullet"/>
        <w:spacing w:after="80"/>
      </w:pPr>
      <w:r>
        <w:t>сравнение водителей и автомобилей внутри сопоставимых групп;</w:t>
      </w:r>
    </w:p>
    <w:p>
      <w:pPr>
        <w:pStyle w:val="ListBullet"/>
        <w:spacing w:after="80"/>
      </w:pPr>
      <w:r>
        <w:t>критерии контроля экономии после внедрения изменений;</w:t>
      </w:r>
    </w:p>
    <w:p>
      <w:pPr>
        <w:pStyle w:val="ListBullet"/>
        <w:spacing w:after="80"/>
      </w:pPr>
      <w:r>
        <w:t>оценку возможного сокращения расхода топлива в литрах;</w:t>
      </w:r>
    </w:p>
    <w:p>
      <w:pPr>
        <w:pStyle w:val="ListBullet"/>
        <w:spacing w:after="80"/>
      </w:pPr>
      <w:r>
        <w:t>финансовый эффект в BYN и расчет экономики масштабирования.</w:t>
      </w:r>
    </w:p>
    <w:p>
      <w:pPr>
        <w:pStyle w:val="Heading1"/>
        <w:keepNext/>
      </w:pPr>
      <w:r>
        <w:t>Какие вопросы решает аудит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Вопрос руководителя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Что показывает RC.Drive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Где начинается перерасход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Вклад холостого хода, скорости, оборотов, торможений, наката и других факторов.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Кого разбирать первым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Приоритет водителей и автомобилей по величине отклонения и потенциальному эффекту.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Что именно изменить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Конкретная рекомендация, связанная с выявленным фактором расхода.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Изменение сработало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Динамика до и после действия по заранее согласованному критерию.</w:t>
            </w:r>
          </w:p>
        </w:tc>
      </w:tr>
      <w:tr>
        <w:tc>
          <w:tcPr>
            <w:tcW w:type="dxa" w:w="3456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Есть смысл масштабировать</w:t>
            </w:r>
          </w:p>
        </w:tc>
        <w:tc>
          <w:tcPr>
            <w:tcW w:type="dxa" w:w="6264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Оценка эффекта в литрах и BYN с учетом стоимости сервиса.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Исходные данные</w:t>
      </w:r>
    </w:p>
    <w:p>
      <w:r>
        <w:t>Для корректного анализа нужны исторические данные телематики и CAN: пробег, расход, скорость, обороты двигателя, нагрузка, положение педали акселератора и другие доступные параметры. Набор уточняется на проверке совместимости.</w:t>
      </w:r>
    </w:p>
    <w:p>
      <w:pPr>
        <w:pStyle w:val="ListBullet"/>
        <w:spacing w:after="80"/>
      </w:pPr>
      <w:r>
        <w:t>состав парка и типы установленного оборудования;</w:t>
      </w:r>
    </w:p>
    <w:p>
      <w:pPr>
        <w:pStyle w:val="ListBullet"/>
        <w:spacing w:after="80"/>
      </w:pPr>
      <w:r>
        <w:t>перечень доступных CAN-параметров и частота передачи данных;</w:t>
      </w:r>
    </w:p>
    <w:p>
      <w:pPr>
        <w:pStyle w:val="ListBullet"/>
        <w:spacing w:after="80"/>
      </w:pPr>
      <w:r>
        <w:t>история не менее 8 недель, предпочтительно 12 недель;</w:t>
      </w:r>
    </w:p>
    <w:p>
      <w:pPr>
        <w:pStyle w:val="ListBullet"/>
        <w:spacing w:after="80"/>
      </w:pPr>
      <w:r>
        <w:t>понимание маршрутов, назначения техники и условий работы;</w:t>
      </w:r>
    </w:p>
    <w:p>
      <w:pPr>
        <w:pStyle w:val="ListBullet"/>
        <w:spacing w:after="80"/>
      </w:pPr>
      <w:r>
        <w:t>ответственный со стороны клиента за разбор рекомендаций и действия.</w:t>
      </w:r>
    </w:p>
    <w:p>
      <w:pPr>
        <w:pStyle w:val="Heading1"/>
        <w:keepNext/>
      </w:pPr>
      <w:r>
        <w:t>Этапы работы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</w:trP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Этап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Действия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19"/>
              </w:rPr>
              <w:t>Результат</w:t>
            </w:r>
          </w:p>
        </w:tc>
      </w:tr>
      <w:t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1  Совместимость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Проверяем источники данных и выбираем репрезентативную группу.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Подтвержденный состав данных и границы аудита.</w:t>
            </w:r>
          </w:p>
        </w:tc>
      </w:tr>
      <w:t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2  Базовая линия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Формируем профиль расхода по сопоставимым ТС и водителям.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Точка отсчета и зоны отклонения.</w:t>
            </w:r>
          </w:p>
        </w:tc>
      </w:tr>
      <w:t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3  Рекомендации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Разбираем причины, приоритеты и назначаем действия.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Список действий с ответственными.</w:t>
            </w:r>
          </w:p>
        </w:tc>
      </w:tr>
      <w:t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4  Проверка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Сравниваем динамику после изменений.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Подтвержденный или опровергнутый эффект.</w:t>
            </w:r>
          </w:p>
        </w:tc>
      </w:tr>
      <w:tr>
        <w:tc>
          <w:tcPr>
            <w:tcW w:type="dxa" w:w="180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5  Масштабирование</w:t>
            </w:r>
          </w:p>
        </w:tc>
        <w:tc>
          <w:tcPr>
            <w:tcW w:type="dxa" w:w="4608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Считаем экономику для всего подходящего парка.</w:t>
            </w:r>
          </w:p>
        </w:tc>
        <w:tc>
          <w:tcPr>
            <w:tcW w:type="dxa" w:w="331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18"/>
              </w:rPr>
              <w:t>Решение о внедрении и план развертывания.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Критерии успеха</w:t>
      </w:r>
    </w:p>
    <w:p>
      <w:r>
        <w:t>Критерии фиксируются до анализа. Это позволяет отделить полезный результат от красивого отчета и не подменять проверку обещанием. Рекомендуемый набор: полнота данных, число найденных управляемых факторов, выполненные действия, изменение расхода в литрах и финансовый эффект после стоимости сервиса.</w:t>
      </w:r>
    </w:p>
    <w:p>
      <w:pPr>
        <w:pStyle w:val="Heading1"/>
        <w:keepNext/>
      </w:pPr>
      <w:r>
        <w:t>Стоимость RC Drive в Беларуси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rPr>
          <w:tblHeader w:val="true"/>
        </w:trP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Позиция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0243A"/>
          </w:tcPr>
          <w:p>
            <w:pPr>
              <w:jc w:val="center"/>
            </w:pPr>
            <w:r/>
            <w:r>
              <w:rPr>
                <w:rFonts w:ascii="Fira Sans" w:hAnsi="Fira Sans"/>
                <w:b/>
                <w:color w:val="FFFFFF"/>
                <w:sz w:val="21"/>
              </w:rPr>
              <w:t>Стоимость BYN без НДС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RC.Drive за одно транспортное средство в месяц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22,00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Терминал RC Basic CAN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370,00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Терминал RC PRO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490,00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Подключение одного транспортного средства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136,90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Датчик уровня топлива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FFFFF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313,50</w:t>
            </w:r>
          </w:p>
        </w:tc>
      </w:tr>
      <w:tr>
        <w:tc>
          <w:tcPr>
            <w:tcW w:type="dxa" w:w="6552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left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Монтаж ДУТ с тарировкой</w:t>
            </w:r>
          </w:p>
        </w:tc>
        <w:tc>
          <w:tcPr>
            <w:tcW w:type="dxa" w:w="2880"/>
            <w:vAlign w:val="center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EEF5FC"/>
          </w:tcPr>
          <w:p>
            <w:pPr>
              <w:jc w:val="center"/>
            </w:pPr>
            <w:r/>
            <w:r>
              <w:rPr>
                <w:rFonts w:ascii="Fira Sans" w:hAnsi="Fira Sans"/>
                <w:b w:val="0"/>
                <w:color w:val="000000"/>
                <w:sz w:val="20"/>
              </w:rPr>
              <w:t>146,90</w:t>
            </w:r>
          </w:p>
        </w:tc>
      </w:tr>
    </w:tbl>
    <w:p>
      <w:pPr>
        <w:spacing w:after="20"/>
      </w:pPr>
    </w:p>
    <w:p>
      <w:r>
        <w:t>Прайс действует на 09.09.2026. Состав оборудования зависит от уже установленной телематики и результатов проверки совместимости. Финальная стоимость фиксируется в коммерческом предложении.</w:t>
      </w:r>
    </w:p>
    <w:p>
      <w:pPr>
        <w:pStyle w:val="Heading1"/>
        <w:keepNext/>
      </w:pPr>
      <w:r>
        <w:t>Пример масштаба экономического эффекта</w:t>
      </w:r>
    </w:p>
    <w:p>
      <w:r>
        <w:t>Для парка из 100 транспортных средств с пробегом 10 000 км в месяц каждые 0,5 л на 100 км разницы соответствуют 5 000 л топлива в месяц. Это иллюстрация масштаба. Фактический резерв определяется только на данных конкретного клиента.</w:t>
      </w:r>
    </w:p>
    <w:p>
      <w:r>
        <w:br w:type="page"/>
      </w:r>
    </w:p>
    <w:p>
      <w:pPr>
        <w:pStyle w:val="Heading1"/>
        <w:keepNext/>
      </w:pPr>
      <w:r>
        <w:t>Условия и ограничения</w:t>
      </w:r>
    </w:p>
    <w:p>
      <w:pPr>
        <w:pStyle w:val="ListBullet"/>
        <w:spacing w:after="80"/>
      </w:pPr>
      <w:r>
        <w:t>RC.Drive анализирует эксплуатационный расход и поведение водителя; сервис не является системой выявления сливов топлива.</w:t>
      </w:r>
    </w:p>
    <w:p>
      <w:pPr>
        <w:pStyle w:val="ListBullet"/>
        <w:spacing w:after="80"/>
      </w:pPr>
      <w:r>
        <w:t>Совместимость подтверждается по фактическим параметрам оборудования и CAN. Универсальная работа с любым транспортным средством не заявляется.</w:t>
      </w:r>
    </w:p>
    <w:p>
      <w:pPr>
        <w:pStyle w:val="ListBullet"/>
        <w:spacing w:after="80"/>
      </w:pPr>
      <w:r>
        <w:t>Маршруты, тип техники и режим работы учитываются через сопоставимые группы; рельеф и осевая нагрузка не моделируются отдельными независимыми факторами.</w:t>
      </w:r>
    </w:p>
    <w:p>
      <w:pPr>
        <w:pStyle w:val="ListBullet"/>
        <w:spacing w:after="80"/>
      </w:pPr>
      <w:r>
        <w:t>Рекомендации требуют управленческого внедрения и повторной проверки. Экономия не гарантируется заранее.</w:t>
      </w:r>
    </w:p>
    <w:p>
      <w:pPr>
        <w:pStyle w:val="ListBullet"/>
        <w:spacing w:after="80"/>
      </w:pPr>
      <w:r>
        <w:t>Мобильное приложение, сводки в мессенджерах и конструктор мотивации водителей не входят в текущий оффер.</w:t>
      </w:r>
    </w:p>
    <w:p>
      <w:pPr>
        <w:pStyle w:val="Heading1"/>
        <w:keepNext/>
      </w:pPr>
      <w:r>
        <w:t>Следующий шаг</w:t>
      </w:r>
    </w:p>
    <w:p>
      <w:r>
        <w:t>Передайте RESURSCONTROL состав техники, типы трекеров, перечень доступных CAN-параметров, средний пробег и расход. Команда проверит совместимость, предложит репрезентативную группу и согласует критерии аудита.</w:t>
      </w:r>
    </w:p>
    <w:p>
      <w:r>
        <w:t>RESURSCONTROL  ·  resurscontrol.com  ·  +375 (29) 625-78-78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152" w:bottom="97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Russo One" w:hAnsi="Russo One"/>
        <w:color w:val="1478F2"/>
        <w:sz w:val="16"/>
      </w:rPr>
      <w:t>RESURSCONTROL  ·  RC.DRIVE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9" w:lineRule="auto"/>
    </w:pPr>
    <w:rPr>
      <w:rFonts w:ascii="Fira Sans" w:hAnsi="Fira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Fira Sans" w:hAnsi="Fira Sans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Fira Sans" w:hAnsi="Fira Sans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 w:ascii="Fira Sans" w:hAnsi="Fira Sans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Fira Sans" w:hAnsi="Fira Sans"/>
      <w:b/>
      <w:color w:val="00000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